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88" w:rsidRDefault="005C783C" w:rsidP="005C783C">
      <w:pPr>
        <w:jc w:val="center"/>
      </w:pPr>
      <w:r>
        <w:rPr>
          <w:rFonts w:ascii="Myriad Pro" w:hAnsi="Myriad Pro" w:cs="Times New Roman"/>
          <w:noProof/>
          <w:lang w:bidi="ar-SA"/>
        </w:rPr>
        <w:drawing>
          <wp:inline distT="0" distB="0" distL="0" distR="0" wp14:anchorId="2589BF3F" wp14:editId="307A8CC2">
            <wp:extent cx="2676525" cy="1136545"/>
            <wp:effectExtent l="0" t="0" r="0" b="6985"/>
            <wp:docPr id="1" name="Picture 1" descr="S:\Shared\Logos for Staff\H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Logos for Staff\H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95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3C" w:rsidRDefault="005C783C" w:rsidP="005C783C">
      <w:pPr>
        <w:pStyle w:val="BodyText"/>
        <w:spacing w:before="4"/>
        <w:rPr>
          <w:rFonts w:ascii="Times New Roman"/>
          <w:sz w:val="16"/>
        </w:rPr>
      </w:pPr>
    </w:p>
    <w:p w:rsidR="005C783C" w:rsidRDefault="005C783C" w:rsidP="005C783C">
      <w:pPr>
        <w:pStyle w:val="BodyText"/>
        <w:spacing w:before="4"/>
        <w:rPr>
          <w:rFonts w:ascii="Times New Roman"/>
          <w:sz w:val="16"/>
        </w:rPr>
      </w:pPr>
    </w:p>
    <w:p w:rsidR="005C783C" w:rsidRPr="005C783C" w:rsidRDefault="005C783C" w:rsidP="005C783C">
      <w:pPr>
        <w:spacing w:line="449" w:lineRule="exact"/>
        <w:ind w:left="100"/>
        <w:jc w:val="center"/>
        <w:rPr>
          <w:rFonts w:ascii="Myriad Pro" w:hAnsi="Myriad Pro" w:cs="Times New Roman"/>
          <w:b/>
          <w:sz w:val="32"/>
          <w:szCs w:val="32"/>
        </w:rPr>
      </w:pPr>
      <w:r w:rsidRPr="005C783C">
        <w:rPr>
          <w:rFonts w:ascii="Myriad Pro" w:hAnsi="Myriad Pro" w:cs="Times New Roman"/>
          <w:b/>
          <w:color w:val="231F20"/>
          <w:sz w:val="32"/>
          <w:szCs w:val="32"/>
        </w:rPr>
        <w:t>Create a State Income Tax Credit for Prepared Food Donations</w:t>
      </w:r>
    </w:p>
    <w:p w:rsidR="005C783C" w:rsidRPr="005C783C" w:rsidRDefault="005C783C" w:rsidP="005C783C">
      <w:pPr>
        <w:pStyle w:val="BodyText"/>
        <w:spacing w:line="228" w:lineRule="auto"/>
        <w:jc w:val="both"/>
        <w:rPr>
          <w:rFonts w:ascii="Myriad Pro" w:hAnsi="Myriad Pro"/>
          <w:b/>
          <w:sz w:val="40"/>
        </w:rPr>
      </w:pPr>
    </w:p>
    <w:p w:rsidR="005C783C" w:rsidRPr="005C783C" w:rsidRDefault="005C783C" w:rsidP="005C783C">
      <w:pPr>
        <w:pStyle w:val="BodyText"/>
        <w:spacing w:line="228" w:lineRule="auto"/>
        <w:jc w:val="both"/>
        <w:rPr>
          <w:rFonts w:ascii="Myriad Pro" w:hAnsi="Myriad Pro" w:cs="Times New Roman"/>
          <w:sz w:val="22"/>
          <w:szCs w:val="22"/>
        </w:rPr>
      </w:pPr>
      <w:r w:rsidRPr="005C783C">
        <w:rPr>
          <w:rFonts w:ascii="Myriad Pro" w:hAnsi="Myriad Pro" w:cs="Times New Roman"/>
          <w:b/>
          <w:color w:val="231F20"/>
          <w:sz w:val="22"/>
          <w:szCs w:val="22"/>
        </w:rPr>
        <w:t xml:space="preserve">POSITION: </w:t>
      </w:r>
      <w:r w:rsidRPr="005C783C">
        <w:rPr>
          <w:rFonts w:ascii="Myriad Pro" w:hAnsi="Myriad Pro" w:cs="Times New Roman"/>
          <w:color w:val="231F20"/>
          <w:sz w:val="22"/>
          <w:szCs w:val="22"/>
        </w:rPr>
        <w:t>Hospitality Minnesota supports legislation to establish a non-refundable tax credit for the donation of prepared foods to charitable institutions such as food banks.</w:t>
      </w:r>
    </w:p>
    <w:p w:rsidR="005C783C" w:rsidRPr="005C783C" w:rsidRDefault="005C783C" w:rsidP="005C783C">
      <w:pPr>
        <w:pStyle w:val="BodyText"/>
        <w:spacing w:before="7"/>
        <w:jc w:val="both"/>
        <w:rPr>
          <w:rFonts w:ascii="Myriad Pro" w:hAnsi="Myriad Pro" w:cs="Times New Roman"/>
          <w:sz w:val="22"/>
          <w:szCs w:val="22"/>
        </w:rPr>
      </w:pPr>
    </w:p>
    <w:p w:rsidR="005C783C" w:rsidRPr="005C783C" w:rsidRDefault="005C783C" w:rsidP="005C783C">
      <w:pPr>
        <w:pStyle w:val="BodyText"/>
        <w:spacing w:line="230" w:lineRule="auto"/>
        <w:jc w:val="both"/>
        <w:rPr>
          <w:rFonts w:ascii="Myriad Pro" w:hAnsi="Myriad Pro" w:cs="Times New Roman"/>
          <w:sz w:val="22"/>
          <w:szCs w:val="22"/>
        </w:rPr>
      </w:pPr>
      <w:r w:rsidRPr="005C783C">
        <w:rPr>
          <w:rFonts w:ascii="Myriad Pro" w:hAnsi="Myriad Pro" w:cs="Times New Roman"/>
          <w:b/>
          <w:color w:val="231F20"/>
          <w:sz w:val="22"/>
          <w:szCs w:val="22"/>
        </w:rPr>
        <w:t xml:space="preserve">BACKGROUND: </w:t>
      </w:r>
      <w:r w:rsidRPr="005C783C">
        <w:rPr>
          <w:rFonts w:ascii="Myriad Pro" w:hAnsi="Myriad Pro" w:cs="Times New Roman"/>
          <w:color w:val="231F20"/>
          <w:sz w:val="22"/>
          <w:szCs w:val="22"/>
        </w:rPr>
        <w:t>While federal tax law provides an enhanced deduction for the donation of ready-to-eat food to a recognized charity, Minnesota has not created a similar program at the state level. The proposed legislation creates a new tax credit to encourage busine</w:t>
      </w:r>
      <w:r w:rsidR="00794613">
        <w:rPr>
          <w:rFonts w:ascii="Myriad Pro" w:hAnsi="Myriad Pro" w:cs="Times New Roman"/>
          <w:color w:val="231F20"/>
          <w:sz w:val="22"/>
          <w:szCs w:val="22"/>
        </w:rPr>
        <w:t>sses that prepare food for sale</w:t>
      </w:r>
      <w:r w:rsidRPr="005C783C">
        <w:rPr>
          <w:rFonts w:ascii="Myriad Pro" w:hAnsi="Myriad Pro" w:cs="Times New Roman"/>
          <w:color w:val="231F20"/>
          <w:sz w:val="22"/>
          <w:szCs w:val="22"/>
        </w:rPr>
        <w:t xml:space="preserve"> to donate surplus food to food banks and other recognized charities.</w:t>
      </w:r>
    </w:p>
    <w:p w:rsidR="005C783C" w:rsidRPr="005C783C" w:rsidRDefault="005C783C" w:rsidP="005C783C">
      <w:pPr>
        <w:pStyle w:val="BodyText"/>
        <w:rPr>
          <w:rFonts w:ascii="Myriad Pro" w:hAnsi="Myriad Pro" w:cs="Times New Roman"/>
          <w:sz w:val="22"/>
          <w:szCs w:val="22"/>
        </w:rPr>
      </w:pPr>
      <w:bookmarkStart w:id="0" w:name="_GoBack"/>
      <w:bookmarkEnd w:id="0"/>
    </w:p>
    <w:p w:rsidR="005C783C" w:rsidRPr="005C783C" w:rsidRDefault="005C783C" w:rsidP="005C783C">
      <w:pPr>
        <w:spacing w:before="205" w:line="286" w:lineRule="exact"/>
        <w:ind w:left="100"/>
        <w:rPr>
          <w:rFonts w:ascii="Myriad Pro" w:hAnsi="Myriad Pro" w:cs="Times New Roman"/>
          <w:b/>
        </w:rPr>
      </w:pPr>
      <w:r w:rsidRPr="005C783C">
        <w:rPr>
          <w:rFonts w:ascii="Myriad Pro" w:hAnsi="Myriad Pro" w:cs="Times New Roman"/>
          <w:b/>
          <w:color w:val="231F20"/>
        </w:rPr>
        <w:t>SUPPORTING STATEMENTS:</w:t>
      </w:r>
    </w:p>
    <w:p w:rsidR="005C783C" w:rsidRPr="005C783C" w:rsidRDefault="005C783C" w:rsidP="005C783C">
      <w:pPr>
        <w:pStyle w:val="ListParagraph"/>
        <w:numPr>
          <w:ilvl w:val="0"/>
          <w:numId w:val="3"/>
        </w:numPr>
        <w:tabs>
          <w:tab w:val="left" w:pos="820"/>
        </w:tabs>
        <w:spacing w:before="0" w:line="232" w:lineRule="auto"/>
        <w:rPr>
          <w:rFonts w:ascii="Myriad Pro" w:hAnsi="Myriad Pro" w:cs="Times New Roman"/>
        </w:rPr>
      </w:pPr>
      <w:r w:rsidRPr="005C783C">
        <w:rPr>
          <w:rFonts w:ascii="Myriad Pro" w:hAnsi="Myriad Pro" w:cs="Times New Roman"/>
          <w:color w:val="231F20"/>
        </w:rPr>
        <w:t>Prepared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food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can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go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to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waste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for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a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variety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of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reasons.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A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snowstorm,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for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example,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may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reduce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the number of people attending a special event or banquet, resulting in dozens or even hundreds of unserved</w:t>
      </w:r>
      <w:r w:rsidRPr="005C783C">
        <w:rPr>
          <w:rFonts w:ascii="Myriad Pro" w:hAnsi="Myriad Pro" w:cs="Times New Roman"/>
          <w:color w:val="231F20"/>
          <w:spacing w:val="-1"/>
        </w:rPr>
        <w:t xml:space="preserve"> </w:t>
      </w:r>
      <w:r w:rsidRPr="005C783C">
        <w:rPr>
          <w:rFonts w:ascii="Myriad Pro" w:hAnsi="Myriad Pro" w:cs="Times New Roman"/>
          <w:color w:val="231F20"/>
        </w:rPr>
        <w:t>meals.</w:t>
      </w:r>
    </w:p>
    <w:p w:rsidR="005C783C" w:rsidRPr="005C783C" w:rsidRDefault="005C783C" w:rsidP="005C783C">
      <w:pPr>
        <w:pStyle w:val="ListParagraph"/>
        <w:numPr>
          <w:ilvl w:val="0"/>
          <w:numId w:val="3"/>
        </w:numPr>
        <w:tabs>
          <w:tab w:val="left" w:pos="820"/>
        </w:tabs>
        <w:spacing w:before="180" w:line="232" w:lineRule="auto"/>
        <w:ind w:right="295"/>
        <w:rPr>
          <w:rFonts w:ascii="Myriad Pro" w:hAnsi="Myriad Pro" w:cs="Times New Roman"/>
        </w:rPr>
      </w:pPr>
      <w:r w:rsidRPr="005C783C">
        <w:rPr>
          <w:rFonts w:ascii="Myriad Pro" w:hAnsi="Myriad Pro" w:cs="Times New Roman"/>
          <w:color w:val="231F20"/>
        </w:rPr>
        <w:t>Many soup kitchens and feeding sites utilize locally donated restaurant food to supplement the meals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they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prepare.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Restaurants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are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uniquely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situated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to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combat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hunger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in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this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arena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because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of their business model of serving prepared food for immediate</w:t>
      </w:r>
      <w:r w:rsidRPr="005C783C">
        <w:rPr>
          <w:rFonts w:ascii="Myriad Pro" w:hAnsi="Myriad Pro" w:cs="Times New Roman"/>
          <w:color w:val="231F20"/>
          <w:spacing w:val="-6"/>
        </w:rPr>
        <w:t xml:space="preserve"> </w:t>
      </w:r>
      <w:r w:rsidRPr="005C783C">
        <w:rPr>
          <w:rFonts w:ascii="Myriad Pro" w:hAnsi="Myriad Pro" w:cs="Times New Roman"/>
          <w:color w:val="231F20"/>
        </w:rPr>
        <w:t>consumption.</w:t>
      </w:r>
    </w:p>
    <w:p w:rsidR="005C783C" w:rsidRPr="005C783C" w:rsidRDefault="005C783C" w:rsidP="005C783C">
      <w:pPr>
        <w:pStyle w:val="ListParagraph"/>
        <w:numPr>
          <w:ilvl w:val="0"/>
          <w:numId w:val="3"/>
        </w:numPr>
        <w:tabs>
          <w:tab w:val="left" w:pos="820"/>
        </w:tabs>
        <w:spacing w:line="232" w:lineRule="auto"/>
        <w:ind w:right="420"/>
        <w:rPr>
          <w:rFonts w:ascii="Myriad Pro" w:hAnsi="Myriad Pro" w:cs="Times New Roman"/>
        </w:rPr>
      </w:pPr>
      <w:r w:rsidRPr="005C783C">
        <w:rPr>
          <w:rFonts w:ascii="Myriad Pro" w:hAnsi="Myriad Pro" w:cs="Times New Roman"/>
          <w:color w:val="231F20"/>
        </w:rPr>
        <w:t>There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is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a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cost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to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a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business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to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properly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package,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refrigerate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and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document food to be given to a recognized</w:t>
      </w:r>
      <w:r w:rsidRPr="005C783C">
        <w:rPr>
          <w:rFonts w:ascii="Myriad Pro" w:hAnsi="Myriad Pro" w:cs="Times New Roman"/>
          <w:color w:val="231F20"/>
          <w:spacing w:val="-2"/>
        </w:rPr>
        <w:t xml:space="preserve"> </w:t>
      </w:r>
      <w:r w:rsidRPr="005C783C">
        <w:rPr>
          <w:rFonts w:ascii="Myriad Pro" w:hAnsi="Myriad Pro" w:cs="Times New Roman"/>
          <w:color w:val="231F20"/>
          <w:spacing w:val="-3"/>
        </w:rPr>
        <w:t>charity.</w:t>
      </w:r>
    </w:p>
    <w:p w:rsidR="005C783C" w:rsidRPr="005C783C" w:rsidRDefault="005C783C" w:rsidP="005C783C">
      <w:pPr>
        <w:pStyle w:val="ListParagraph"/>
        <w:numPr>
          <w:ilvl w:val="0"/>
          <w:numId w:val="3"/>
        </w:numPr>
        <w:tabs>
          <w:tab w:val="left" w:pos="820"/>
        </w:tabs>
        <w:spacing w:line="232" w:lineRule="auto"/>
        <w:ind w:right="250"/>
        <w:rPr>
          <w:rFonts w:ascii="Myriad Pro" w:hAnsi="Myriad Pro" w:cs="Times New Roman"/>
        </w:rPr>
      </w:pPr>
      <w:r w:rsidRPr="005C783C">
        <w:rPr>
          <w:rFonts w:ascii="Myriad Pro" w:hAnsi="Myriad Pro" w:cs="Times New Roman"/>
          <w:color w:val="231F20"/>
        </w:rPr>
        <w:t>Food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donation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programs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reduce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greenhouse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gas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emissions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by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ensuring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surplus</w:t>
      </w:r>
      <w:r w:rsidRPr="005C783C">
        <w:rPr>
          <w:rFonts w:ascii="Myriad Pro" w:hAnsi="Myriad Pro" w:cs="Times New Roman"/>
          <w:color w:val="231F20"/>
          <w:spacing w:val="-5"/>
        </w:rPr>
        <w:t xml:space="preserve"> </w:t>
      </w:r>
      <w:r w:rsidRPr="005C783C">
        <w:rPr>
          <w:rFonts w:ascii="Myriad Pro" w:hAnsi="Myriad Pro" w:cs="Times New Roman"/>
          <w:color w:val="231F20"/>
        </w:rPr>
        <w:t>food</w:t>
      </w:r>
      <w:r w:rsidRPr="005C783C">
        <w:rPr>
          <w:rFonts w:ascii="Myriad Pro" w:hAnsi="Myriad Pro" w:cs="Times New Roman"/>
          <w:color w:val="231F20"/>
          <w:spacing w:val="-4"/>
        </w:rPr>
        <w:t xml:space="preserve"> </w:t>
      </w:r>
      <w:r w:rsidRPr="005C783C">
        <w:rPr>
          <w:rFonts w:ascii="Myriad Pro" w:hAnsi="Myriad Pro" w:cs="Times New Roman"/>
          <w:color w:val="231F20"/>
        </w:rPr>
        <w:t>is kept out of landfills and waste</w:t>
      </w:r>
      <w:r w:rsidRPr="005C783C">
        <w:rPr>
          <w:rFonts w:ascii="Myriad Pro" w:hAnsi="Myriad Pro" w:cs="Times New Roman"/>
          <w:color w:val="231F20"/>
          <w:spacing w:val="-2"/>
        </w:rPr>
        <w:t xml:space="preserve"> </w:t>
      </w:r>
      <w:r w:rsidRPr="005C783C">
        <w:rPr>
          <w:rFonts w:ascii="Myriad Pro" w:hAnsi="Myriad Pro" w:cs="Times New Roman"/>
          <w:color w:val="231F20"/>
        </w:rPr>
        <w:t>combustion.</w:t>
      </w:r>
    </w:p>
    <w:p w:rsidR="005C783C" w:rsidRPr="005C783C" w:rsidRDefault="005C783C" w:rsidP="005C783C">
      <w:pPr>
        <w:pStyle w:val="ListParagraph"/>
        <w:numPr>
          <w:ilvl w:val="0"/>
          <w:numId w:val="3"/>
        </w:numPr>
        <w:tabs>
          <w:tab w:val="left" w:pos="820"/>
        </w:tabs>
        <w:spacing w:line="232" w:lineRule="auto"/>
        <w:ind w:right="879"/>
        <w:rPr>
          <w:rFonts w:ascii="Myriad Pro" w:hAnsi="Myriad Pro" w:cs="Times New Roman"/>
        </w:rPr>
      </w:pPr>
      <w:r w:rsidRPr="005C783C">
        <w:rPr>
          <w:rFonts w:ascii="Myriad Pro" w:hAnsi="Myriad Pro" w:cs="Times New Roman"/>
          <w:color w:val="231F20"/>
        </w:rPr>
        <w:t>Charities such as the Salvation Army and Second Harvest Heartland can make good use</w:t>
      </w:r>
      <w:r w:rsidRPr="005C783C">
        <w:rPr>
          <w:rFonts w:ascii="Myriad Pro" w:hAnsi="Myriad Pro" w:cs="Times New Roman"/>
          <w:color w:val="231F20"/>
          <w:spacing w:val="-39"/>
        </w:rPr>
        <w:t xml:space="preserve"> </w:t>
      </w:r>
      <w:r w:rsidRPr="005C783C">
        <w:rPr>
          <w:rFonts w:ascii="Myriad Pro" w:hAnsi="Myriad Pro" w:cs="Times New Roman"/>
          <w:color w:val="231F20"/>
        </w:rPr>
        <w:t>of donated ready-to-eat</w:t>
      </w:r>
      <w:r w:rsidRPr="005C783C">
        <w:rPr>
          <w:rFonts w:ascii="Myriad Pro" w:hAnsi="Myriad Pro" w:cs="Times New Roman"/>
          <w:color w:val="231F20"/>
          <w:spacing w:val="-1"/>
        </w:rPr>
        <w:t xml:space="preserve"> </w:t>
      </w:r>
      <w:r w:rsidRPr="005C783C">
        <w:rPr>
          <w:rFonts w:ascii="Myriad Pro" w:hAnsi="Myriad Pro" w:cs="Times New Roman"/>
          <w:color w:val="231F20"/>
        </w:rPr>
        <w:t>foods.</w:t>
      </w:r>
    </w:p>
    <w:p w:rsidR="005C783C" w:rsidRDefault="005C783C"/>
    <w:sectPr w:rsidR="005C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9D2"/>
    <w:multiLevelType w:val="hybridMultilevel"/>
    <w:tmpl w:val="CAC81966"/>
    <w:lvl w:ilvl="0" w:tplc="DC065BC0">
      <w:numFmt w:val="bullet"/>
      <w:lvlText w:val="•"/>
      <w:lvlJc w:val="left"/>
      <w:pPr>
        <w:ind w:left="819" w:hanging="380"/>
      </w:pPr>
      <w:rPr>
        <w:rFonts w:ascii="Neutraface Text Book" w:eastAsia="Neutraface Text Book" w:hAnsi="Neutraface Text Book" w:cs="Neutraface Text Book" w:hint="default"/>
        <w:color w:val="231F20"/>
        <w:spacing w:val="-6"/>
        <w:w w:val="93"/>
        <w:sz w:val="23"/>
        <w:szCs w:val="23"/>
        <w:lang w:val="en-US" w:eastAsia="en-US" w:bidi="en-US"/>
      </w:rPr>
    </w:lvl>
    <w:lvl w:ilvl="1" w:tplc="3EF6B8AE">
      <w:numFmt w:val="bullet"/>
      <w:lvlText w:val="•"/>
      <w:lvlJc w:val="left"/>
      <w:pPr>
        <w:ind w:left="3760" w:hanging="380"/>
      </w:pPr>
      <w:rPr>
        <w:lang w:val="en-US" w:eastAsia="en-US" w:bidi="en-US"/>
      </w:rPr>
    </w:lvl>
    <w:lvl w:ilvl="2" w:tplc="96107A96">
      <w:numFmt w:val="bullet"/>
      <w:lvlText w:val="•"/>
      <w:lvlJc w:val="left"/>
      <w:pPr>
        <w:ind w:left="4482" w:hanging="380"/>
      </w:pPr>
      <w:rPr>
        <w:lang w:val="en-US" w:eastAsia="en-US" w:bidi="en-US"/>
      </w:rPr>
    </w:lvl>
    <w:lvl w:ilvl="3" w:tplc="48B83962">
      <w:numFmt w:val="bullet"/>
      <w:lvlText w:val="•"/>
      <w:lvlJc w:val="left"/>
      <w:pPr>
        <w:ind w:left="5204" w:hanging="380"/>
      </w:pPr>
      <w:rPr>
        <w:lang w:val="en-US" w:eastAsia="en-US" w:bidi="en-US"/>
      </w:rPr>
    </w:lvl>
    <w:lvl w:ilvl="4" w:tplc="E38641FA">
      <w:numFmt w:val="bullet"/>
      <w:lvlText w:val="•"/>
      <w:lvlJc w:val="left"/>
      <w:pPr>
        <w:ind w:left="5926" w:hanging="380"/>
      </w:pPr>
      <w:rPr>
        <w:lang w:val="en-US" w:eastAsia="en-US" w:bidi="en-US"/>
      </w:rPr>
    </w:lvl>
    <w:lvl w:ilvl="5" w:tplc="94D8A116">
      <w:numFmt w:val="bullet"/>
      <w:lvlText w:val="•"/>
      <w:lvlJc w:val="left"/>
      <w:pPr>
        <w:ind w:left="6648" w:hanging="380"/>
      </w:pPr>
      <w:rPr>
        <w:lang w:val="en-US" w:eastAsia="en-US" w:bidi="en-US"/>
      </w:rPr>
    </w:lvl>
    <w:lvl w:ilvl="6" w:tplc="33C2EB8A">
      <w:numFmt w:val="bullet"/>
      <w:lvlText w:val="•"/>
      <w:lvlJc w:val="left"/>
      <w:pPr>
        <w:ind w:left="7371" w:hanging="380"/>
      </w:pPr>
      <w:rPr>
        <w:lang w:val="en-US" w:eastAsia="en-US" w:bidi="en-US"/>
      </w:rPr>
    </w:lvl>
    <w:lvl w:ilvl="7" w:tplc="CD44565E">
      <w:numFmt w:val="bullet"/>
      <w:lvlText w:val="•"/>
      <w:lvlJc w:val="left"/>
      <w:pPr>
        <w:ind w:left="8093" w:hanging="380"/>
      </w:pPr>
      <w:rPr>
        <w:lang w:val="en-US" w:eastAsia="en-US" w:bidi="en-US"/>
      </w:rPr>
    </w:lvl>
    <w:lvl w:ilvl="8" w:tplc="B5446FEE">
      <w:numFmt w:val="bullet"/>
      <w:lvlText w:val="•"/>
      <w:lvlJc w:val="left"/>
      <w:pPr>
        <w:ind w:left="8815" w:hanging="380"/>
      </w:pPr>
      <w:rPr>
        <w:lang w:val="en-US" w:eastAsia="en-US" w:bidi="en-US"/>
      </w:rPr>
    </w:lvl>
  </w:abstractNum>
  <w:abstractNum w:abstractNumId="1">
    <w:nsid w:val="772F0B7E"/>
    <w:multiLevelType w:val="hybridMultilevel"/>
    <w:tmpl w:val="3F38BF42"/>
    <w:lvl w:ilvl="0" w:tplc="04090005">
      <w:start w:val="1"/>
      <w:numFmt w:val="bullet"/>
      <w:lvlText w:val=""/>
      <w:lvlJc w:val="left"/>
      <w:pPr>
        <w:ind w:left="819" w:hanging="380"/>
      </w:pPr>
      <w:rPr>
        <w:rFonts w:ascii="Wingdings" w:hAnsi="Wingdings" w:hint="default"/>
        <w:color w:val="231F20"/>
        <w:spacing w:val="-6"/>
        <w:w w:val="93"/>
        <w:sz w:val="23"/>
        <w:szCs w:val="23"/>
        <w:lang w:val="en-US" w:eastAsia="en-US" w:bidi="en-US"/>
      </w:rPr>
    </w:lvl>
    <w:lvl w:ilvl="1" w:tplc="3EF6B8AE">
      <w:numFmt w:val="bullet"/>
      <w:lvlText w:val="•"/>
      <w:lvlJc w:val="left"/>
      <w:pPr>
        <w:ind w:left="3760" w:hanging="380"/>
      </w:pPr>
      <w:rPr>
        <w:lang w:val="en-US" w:eastAsia="en-US" w:bidi="en-US"/>
      </w:rPr>
    </w:lvl>
    <w:lvl w:ilvl="2" w:tplc="96107A96">
      <w:numFmt w:val="bullet"/>
      <w:lvlText w:val="•"/>
      <w:lvlJc w:val="left"/>
      <w:pPr>
        <w:ind w:left="4482" w:hanging="380"/>
      </w:pPr>
      <w:rPr>
        <w:lang w:val="en-US" w:eastAsia="en-US" w:bidi="en-US"/>
      </w:rPr>
    </w:lvl>
    <w:lvl w:ilvl="3" w:tplc="48B83962">
      <w:numFmt w:val="bullet"/>
      <w:lvlText w:val="•"/>
      <w:lvlJc w:val="left"/>
      <w:pPr>
        <w:ind w:left="5204" w:hanging="380"/>
      </w:pPr>
      <w:rPr>
        <w:lang w:val="en-US" w:eastAsia="en-US" w:bidi="en-US"/>
      </w:rPr>
    </w:lvl>
    <w:lvl w:ilvl="4" w:tplc="E38641FA">
      <w:numFmt w:val="bullet"/>
      <w:lvlText w:val="•"/>
      <w:lvlJc w:val="left"/>
      <w:pPr>
        <w:ind w:left="5926" w:hanging="380"/>
      </w:pPr>
      <w:rPr>
        <w:lang w:val="en-US" w:eastAsia="en-US" w:bidi="en-US"/>
      </w:rPr>
    </w:lvl>
    <w:lvl w:ilvl="5" w:tplc="94D8A116">
      <w:numFmt w:val="bullet"/>
      <w:lvlText w:val="•"/>
      <w:lvlJc w:val="left"/>
      <w:pPr>
        <w:ind w:left="6648" w:hanging="380"/>
      </w:pPr>
      <w:rPr>
        <w:lang w:val="en-US" w:eastAsia="en-US" w:bidi="en-US"/>
      </w:rPr>
    </w:lvl>
    <w:lvl w:ilvl="6" w:tplc="33C2EB8A">
      <w:numFmt w:val="bullet"/>
      <w:lvlText w:val="•"/>
      <w:lvlJc w:val="left"/>
      <w:pPr>
        <w:ind w:left="7371" w:hanging="380"/>
      </w:pPr>
      <w:rPr>
        <w:lang w:val="en-US" w:eastAsia="en-US" w:bidi="en-US"/>
      </w:rPr>
    </w:lvl>
    <w:lvl w:ilvl="7" w:tplc="CD44565E">
      <w:numFmt w:val="bullet"/>
      <w:lvlText w:val="•"/>
      <w:lvlJc w:val="left"/>
      <w:pPr>
        <w:ind w:left="8093" w:hanging="380"/>
      </w:pPr>
      <w:rPr>
        <w:lang w:val="en-US" w:eastAsia="en-US" w:bidi="en-US"/>
      </w:rPr>
    </w:lvl>
    <w:lvl w:ilvl="8" w:tplc="B5446FEE">
      <w:numFmt w:val="bullet"/>
      <w:lvlText w:val="•"/>
      <w:lvlJc w:val="left"/>
      <w:pPr>
        <w:ind w:left="8815" w:hanging="380"/>
      </w:pPr>
      <w:rPr>
        <w:lang w:val="en-US" w:eastAsia="en-US" w:bidi="en-US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C"/>
    <w:rsid w:val="00002388"/>
    <w:rsid w:val="005C783C"/>
    <w:rsid w:val="007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83C"/>
    <w:pPr>
      <w:widowControl w:val="0"/>
      <w:autoSpaceDE w:val="0"/>
      <w:autoSpaceDN w:val="0"/>
      <w:spacing w:after="0" w:line="240" w:lineRule="auto"/>
    </w:pPr>
    <w:rPr>
      <w:rFonts w:ascii="Neutraface Text Book" w:eastAsia="Neutraface Text Book" w:hAnsi="Neutraface Text Book" w:cs="Neutraface Tex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783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783C"/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5C783C"/>
    <w:pPr>
      <w:spacing w:before="181"/>
      <w:ind w:left="819" w:right="137" w:hanging="3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3C"/>
    <w:rPr>
      <w:rFonts w:ascii="Tahoma" w:eastAsia="Neutraface Text Book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83C"/>
    <w:pPr>
      <w:widowControl w:val="0"/>
      <w:autoSpaceDE w:val="0"/>
      <w:autoSpaceDN w:val="0"/>
      <w:spacing w:after="0" w:line="240" w:lineRule="auto"/>
    </w:pPr>
    <w:rPr>
      <w:rFonts w:ascii="Neutraface Text Book" w:eastAsia="Neutraface Text Book" w:hAnsi="Neutraface Text Book" w:cs="Neutraface Tex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783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783C"/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5C783C"/>
    <w:pPr>
      <w:spacing w:before="181"/>
      <w:ind w:left="819" w:right="137" w:hanging="3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3C"/>
    <w:rPr>
      <w:rFonts w:ascii="Tahoma" w:eastAsia="Neutraface Text Book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Wogsland</dc:creator>
  <cp:lastModifiedBy>Ben Wogsland</cp:lastModifiedBy>
  <cp:revision>2</cp:revision>
  <dcterms:created xsi:type="dcterms:W3CDTF">2019-01-16T20:50:00Z</dcterms:created>
  <dcterms:modified xsi:type="dcterms:W3CDTF">2019-01-16T20:55:00Z</dcterms:modified>
</cp:coreProperties>
</file>